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94D9" w14:textId="77777777" w:rsidR="009D3DA0" w:rsidRPr="00EB3279" w:rsidRDefault="00EB3279" w:rsidP="00EB3279">
      <w:pPr>
        <w:pStyle w:val="Heading1"/>
        <w:jc w:val="center"/>
        <w:rPr>
          <w:rFonts w:asciiTheme="minorHAnsi" w:hAnsiTheme="minorHAnsi" w:cstheme="minorHAnsi"/>
        </w:rPr>
      </w:pP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81D607" wp14:editId="5BFCAC40">
            <wp:simplePos x="0" y="0"/>
            <wp:positionH relativeFrom="column">
              <wp:posOffset>4483100</wp:posOffset>
            </wp:positionH>
            <wp:positionV relativeFrom="paragraph">
              <wp:posOffset>-207010</wp:posOffset>
            </wp:positionV>
            <wp:extent cx="12763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78" y="21210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68E7B3" wp14:editId="5E8D6656">
            <wp:simplePos x="0" y="0"/>
            <wp:positionH relativeFrom="column">
              <wp:posOffset>1346200</wp:posOffset>
            </wp:positionH>
            <wp:positionV relativeFrom="paragraph">
              <wp:posOffset>-38100</wp:posOffset>
            </wp:positionV>
            <wp:extent cx="153035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241" y="20903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9BE6CD" wp14:editId="04F24674">
            <wp:simplePos x="0" y="0"/>
            <wp:positionH relativeFrom="column">
              <wp:posOffset>2959100</wp:posOffset>
            </wp:positionH>
            <wp:positionV relativeFrom="paragraph">
              <wp:posOffset>6350</wp:posOffset>
            </wp:positionV>
            <wp:extent cx="152400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858CE8" wp14:editId="677B86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200" cy="353695"/>
            <wp:effectExtent l="0" t="0" r="6350" b="8255"/>
            <wp:wrapTight wrapText="bothSides">
              <wp:wrapPolygon edited="0">
                <wp:start x="0" y="0"/>
                <wp:lineTo x="0" y="20941"/>
                <wp:lineTo x="21396" y="20941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</w:rPr>
        <w:t>U</w:t>
      </w:r>
      <w:r w:rsidR="009D3DA0" w:rsidRPr="00EB3279">
        <w:rPr>
          <w:rFonts w:asciiTheme="minorHAnsi" w:hAnsiTheme="minorHAnsi" w:cstheme="minorHAnsi"/>
        </w:rPr>
        <w:t>nit Guide to Benchmarking</w:t>
      </w:r>
    </w:p>
    <w:p w14:paraId="10DE35B5" w14:textId="77777777" w:rsidR="00254084" w:rsidRDefault="00254084" w:rsidP="00254084">
      <w:pPr>
        <w:spacing w:after="0" w:line="240" w:lineRule="auto"/>
      </w:pPr>
    </w:p>
    <w:p w14:paraId="37BF1162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1. Introduction</w:t>
      </w:r>
    </w:p>
    <w:p w14:paraId="380AB205" w14:textId="77777777" w:rsidR="00010C23" w:rsidRDefault="00010C23" w:rsidP="00254084">
      <w:pPr>
        <w:spacing w:after="0" w:line="240" w:lineRule="auto"/>
      </w:pPr>
      <w:r>
        <w:t>What is benchmarking in</w:t>
      </w:r>
      <w:r w:rsidR="00B8745A">
        <w:t xml:space="preserve"> the</w:t>
      </w:r>
      <w:r>
        <w:t xml:space="preserve"> NHS?</w:t>
      </w:r>
    </w:p>
    <w:p w14:paraId="0D5C465B" w14:textId="77777777" w:rsidR="00842321" w:rsidRDefault="00B8745A" w:rsidP="00254084">
      <w:pPr>
        <w:spacing w:after="0" w:line="240" w:lineRule="auto"/>
      </w:pPr>
      <w:r>
        <w:t>B</w:t>
      </w:r>
      <w:r w:rsidR="00010C23">
        <w:t>enchmarking provides a platform for organisations to work together to improve services and meet ambitions set</w:t>
      </w:r>
      <w:r>
        <w:t xml:space="preserve"> out in the NHS Long Term Plan and it provides; a structured approach for realistic and supportive practice development and allows practitioners to identify and compare best practice.</w:t>
      </w:r>
    </w:p>
    <w:p w14:paraId="2803D10D" w14:textId="77777777" w:rsidR="00254084" w:rsidRDefault="00254084" w:rsidP="00254084">
      <w:pPr>
        <w:spacing w:after="0" w:line="240" w:lineRule="auto"/>
      </w:pPr>
    </w:p>
    <w:p w14:paraId="357797D8" w14:textId="77777777" w:rsidR="00842321" w:rsidRP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2. Purpose</w:t>
      </w:r>
    </w:p>
    <w:p w14:paraId="4809152E" w14:textId="77777777" w:rsidR="000B60AC" w:rsidRDefault="00B8745A" w:rsidP="00254084">
      <w:pPr>
        <w:spacing w:after="0" w:line="240" w:lineRule="auto"/>
      </w:pPr>
      <w:r>
        <w:t xml:space="preserve">There are many benefits to having </w:t>
      </w:r>
      <w:r w:rsidR="00B91C2B">
        <w:t xml:space="preserve">a structured approach to quality measurement and </w:t>
      </w:r>
      <w:r>
        <w:t xml:space="preserve">service improvement. </w:t>
      </w:r>
      <w:r w:rsidR="000B60AC">
        <w:t>The advantages include:</w:t>
      </w:r>
    </w:p>
    <w:p w14:paraId="1F7E6C24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 systematic approach to the assessment of practice</w:t>
      </w:r>
    </w:p>
    <w:p w14:paraId="5007602B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promoting reflective practice</w:t>
      </w:r>
    </w:p>
    <w:p w14:paraId="46012936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an avenue for change in clinical practice</w:t>
      </w:r>
    </w:p>
    <w:p w14:paraId="3596E36B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ensuring pockets of innovative practice are not wasted</w:t>
      </w:r>
    </w:p>
    <w:p w14:paraId="789F61CD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reducing repetition of effort and resources</w:t>
      </w:r>
    </w:p>
    <w:p w14:paraId="1577DED3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reducing fragmentation/geographical variations in care</w:t>
      </w:r>
    </w:p>
    <w:p w14:paraId="32AC071D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evidence for additional resources</w:t>
      </w:r>
    </w:p>
    <w:p w14:paraId="0C99C1C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facilitating multidisciplinary team building and networking</w:t>
      </w:r>
    </w:p>
    <w:p w14:paraId="01AC75E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 forum for open and shared learning</w:t>
      </w:r>
    </w:p>
    <w:p w14:paraId="503484C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being practitioner led, and giving a sense of ownership</w:t>
      </w:r>
    </w:p>
    <w:p w14:paraId="09D76A72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accelerating quality improvement</w:t>
      </w:r>
    </w:p>
    <w:p w14:paraId="281B43D9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improving the transition of patients across complex organisational care pathways</w:t>
      </w:r>
    </w:p>
    <w:p w14:paraId="3906AAA8" w14:textId="77777777" w:rsidR="000B60AC" w:rsidRDefault="00BD0778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Contributing</w:t>
      </w:r>
      <w:r w:rsidR="000B60AC">
        <w:t xml:space="preserve"> to the NMC revalidation process in both reflection and CPD elements.</w:t>
      </w:r>
      <w:r w:rsidR="00CA41FA">
        <w:t xml:space="preserve"> (RCN, 2017)</w:t>
      </w:r>
    </w:p>
    <w:p w14:paraId="4FCDCC2B" w14:textId="77777777" w:rsidR="00254084" w:rsidRDefault="00254084" w:rsidP="00254084">
      <w:pPr>
        <w:spacing w:after="0" w:line="240" w:lineRule="auto"/>
      </w:pPr>
    </w:p>
    <w:p w14:paraId="251E5EFF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3. Scope</w:t>
      </w:r>
    </w:p>
    <w:p w14:paraId="192F1A28" w14:textId="77777777" w:rsidR="00842321" w:rsidRDefault="00B8745A" w:rsidP="00254084">
      <w:pPr>
        <w:spacing w:after="0" w:line="240" w:lineRule="auto"/>
      </w:pPr>
      <w:r>
        <w:t xml:space="preserve">The benchmarking process in North East and Yorkshire </w:t>
      </w:r>
      <w:r w:rsidR="00BD0778">
        <w:t xml:space="preserve">(NEY) </w:t>
      </w:r>
      <w:r>
        <w:t>Adult Critical Care Networks has been established for many years and the process is continually evolving to ensure relevant benchmarks are developed and</w:t>
      </w:r>
      <w:r w:rsidR="00C33E9B">
        <w:t xml:space="preserve"> units collaborate to determine and standardise </w:t>
      </w:r>
      <w:r>
        <w:t>best practice</w:t>
      </w:r>
      <w:r w:rsidR="00C33E9B">
        <w:t xml:space="preserve"> interventions and drive quality improvement locally, across a network and the wider region. </w:t>
      </w:r>
      <w:r w:rsidR="009D3DA0">
        <w:t xml:space="preserve">Participating units </w:t>
      </w:r>
      <w:r w:rsidR="00254084">
        <w:t>can be found in Appendix 1.</w:t>
      </w:r>
    </w:p>
    <w:p w14:paraId="3F0B28E1" w14:textId="77777777" w:rsidR="00254084" w:rsidRDefault="00254084" w:rsidP="00254084">
      <w:pPr>
        <w:spacing w:after="0" w:line="240" w:lineRule="auto"/>
      </w:pPr>
    </w:p>
    <w:p w14:paraId="2A2C09FE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4. Process</w:t>
      </w:r>
      <w:r>
        <w:rPr>
          <w:rFonts w:asciiTheme="minorHAnsi" w:hAnsiTheme="minorHAnsi" w:cstheme="minorHAnsi"/>
        </w:rPr>
        <w:t xml:space="preserve"> of benchmarking</w:t>
      </w:r>
      <w:r w:rsidR="009D3DA0">
        <w:rPr>
          <w:rFonts w:asciiTheme="minorHAnsi" w:hAnsiTheme="minorHAnsi" w:cstheme="minorHAnsi"/>
        </w:rPr>
        <w:tab/>
      </w:r>
      <w:r w:rsidR="009D3DA0">
        <w:rPr>
          <w:rFonts w:asciiTheme="minorHAnsi" w:hAnsiTheme="minorHAnsi" w:cstheme="minorHAnsi"/>
        </w:rPr>
        <w:tab/>
      </w:r>
    </w:p>
    <w:p w14:paraId="76882F56" w14:textId="77777777" w:rsidR="00DB25E1" w:rsidRDefault="00107E35" w:rsidP="00254084">
      <w:pPr>
        <w:spacing w:after="0" w:line="240" w:lineRule="auto"/>
      </w:pPr>
      <w:r>
        <w:t xml:space="preserve">Benchmarking follows a systematic process linked to improvement. The steps involved are demonstrated </w:t>
      </w:r>
      <w:r w:rsidR="00DB25E1">
        <w:t xml:space="preserve">in figure 1. </w:t>
      </w:r>
    </w:p>
    <w:p w14:paraId="618CDCD1" w14:textId="77777777" w:rsidR="00107E35" w:rsidRDefault="00107E3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The benchmarking group will determine the priority areas of practice</w:t>
      </w:r>
      <w:r w:rsidR="00730509">
        <w:t xml:space="preserve"> e.g. pressure ulcer prevention, tracheostomy care</w:t>
      </w:r>
      <w:r>
        <w:t xml:space="preserve">. The best practice evidence will be </w:t>
      </w:r>
      <w:r w:rsidR="00DB25E1">
        <w:t xml:space="preserve">agreed </w:t>
      </w:r>
      <w:r w:rsidR="00730509">
        <w:t xml:space="preserve">by the group </w:t>
      </w:r>
      <w:r w:rsidR="00DB25E1">
        <w:t>with</w:t>
      </w:r>
      <w:r>
        <w:t xml:space="preserve"> input from experts in the field. E.g. Pressure ulcer prevention will include </w:t>
      </w:r>
      <w:r w:rsidR="00730509">
        <w:t>tissue v</w:t>
      </w:r>
      <w:r w:rsidR="00DB25E1">
        <w:t xml:space="preserve">iability </w:t>
      </w:r>
      <w:r w:rsidR="00730509">
        <w:t>specialist nurse</w:t>
      </w:r>
      <w:r w:rsidR="00DB25E1">
        <w:t xml:space="preserve"> input as well as evidence provided through National and Professional Standards. </w:t>
      </w:r>
    </w:p>
    <w:p w14:paraId="74003163" w14:textId="77777777" w:rsidR="00DB25E1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The group will agree the best practice interventions /outcome measures following the process below.</w:t>
      </w:r>
    </w:p>
    <w:p w14:paraId="46739FA5" w14:textId="2C3F06D3" w:rsidR="00DB25E1" w:rsidRPr="00526362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526362">
        <w:t>Data collection, validatio</w:t>
      </w:r>
      <w:r w:rsidR="0014283F" w:rsidRPr="00526362">
        <w:t xml:space="preserve">n and submission </w:t>
      </w:r>
      <w:r w:rsidR="00AC6EC4" w:rsidRPr="00526362">
        <w:t>should be carried out</w:t>
      </w:r>
      <w:r w:rsidR="0014283F" w:rsidRPr="00526362">
        <w:t xml:space="preserve"> at individual</w:t>
      </w:r>
      <w:r w:rsidRPr="00526362">
        <w:t xml:space="preserve"> unit level</w:t>
      </w:r>
      <w:r w:rsidR="0014283F" w:rsidRPr="00526362">
        <w:t>. There may be exceptions to this whereby the workforce, guidelines, leadership, practice and culture are the same across units.</w:t>
      </w:r>
    </w:p>
    <w:p w14:paraId="5CC0605F" w14:textId="77777777" w:rsidR="00DB25E1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lastRenderedPageBreak/>
        <w:t>Unit data is shared at network and regional level</w:t>
      </w:r>
      <w:r w:rsidR="00730509">
        <w:t xml:space="preserve"> with participating units and relevant network forums.</w:t>
      </w:r>
    </w:p>
    <w:p w14:paraId="5B3DF7C6" w14:textId="77777777" w:rsidR="009D3DA0" w:rsidRPr="00730509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Strong"/>
          <w:b w:val="0"/>
          <w:bCs w:val="0"/>
        </w:rPr>
      </w:pPr>
      <w:r>
        <w:t xml:space="preserve">Sharing of best practice and quality improvement is the focus of the collaborative </w:t>
      </w:r>
      <w:r w:rsidR="00254084" w:rsidRPr="00254084">
        <w:rPr>
          <w:rStyle w:val="Strong"/>
          <w:b w:val="0"/>
        </w:rPr>
        <w:t>benchmarking forum</w:t>
      </w:r>
    </w:p>
    <w:p w14:paraId="735749E8" w14:textId="77777777" w:rsidR="00730509" w:rsidRPr="00730509" w:rsidRDefault="00717CB9" w:rsidP="009D3DA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Strong"/>
          <w:b w:val="0"/>
          <w:bCs w:val="0"/>
        </w:rPr>
      </w:pPr>
      <w:r w:rsidRPr="0073050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D1D460" wp14:editId="74CD16D4">
            <wp:simplePos x="0" y="0"/>
            <wp:positionH relativeFrom="column">
              <wp:posOffset>544195</wp:posOffset>
            </wp:positionH>
            <wp:positionV relativeFrom="paragraph">
              <wp:posOffset>443230</wp:posOffset>
            </wp:positionV>
            <wp:extent cx="4777740" cy="4826635"/>
            <wp:effectExtent l="0" t="0" r="381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09">
        <w:t>The audit calendar is determined and agreed at the NEY Benchmarking meeting</w:t>
      </w:r>
    </w:p>
    <w:p w14:paraId="76BB4775" w14:textId="77777777" w:rsidR="00717CB9" w:rsidRDefault="00717CB9" w:rsidP="0073050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9B14F37" w14:textId="77777777" w:rsidR="009D3DA0" w:rsidRPr="00717CB9" w:rsidRDefault="009D3DA0" w:rsidP="0073050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17CB9">
        <w:rPr>
          <w:rFonts w:asciiTheme="minorHAnsi" w:hAnsiTheme="minorHAnsi" w:cstheme="minorHAnsi"/>
          <w:sz w:val="24"/>
          <w:szCs w:val="24"/>
        </w:rPr>
        <w:t>Figure 1: The Benchmarking Wheel (RCN, 2017)</w:t>
      </w:r>
      <w:r w:rsidRPr="00717CB9">
        <w:rPr>
          <w:rFonts w:asciiTheme="minorHAnsi" w:hAnsiTheme="minorHAnsi" w:cstheme="minorHAnsi"/>
          <w:sz w:val="24"/>
          <w:szCs w:val="24"/>
        </w:rPr>
        <w:tab/>
      </w:r>
    </w:p>
    <w:p w14:paraId="7238A042" w14:textId="77777777" w:rsidR="00717CB9" w:rsidRDefault="00717CB9" w:rsidP="009D3DA0">
      <w:pPr>
        <w:pStyle w:val="Heading1"/>
        <w:spacing w:before="0" w:line="240" w:lineRule="auto"/>
        <w:contextualSpacing/>
        <w:rPr>
          <w:rFonts w:asciiTheme="minorHAnsi" w:hAnsiTheme="minorHAnsi" w:cstheme="minorHAnsi"/>
        </w:rPr>
      </w:pPr>
    </w:p>
    <w:p w14:paraId="0168F56C" w14:textId="77777777" w:rsidR="00842321" w:rsidRPr="00842321" w:rsidRDefault="00842321" w:rsidP="009D3DA0">
      <w:pPr>
        <w:pStyle w:val="Heading1"/>
        <w:spacing w:before="0" w:line="240" w:lineRule="auto"/>
        <w:contextualSpacing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How to benchmark</w:t>
      </w:r>
    </w:p>
    <w:p w14:paraId="329BE403" w14:textId="77777777" w:rsidR="00243F6C" w:rsidRDefault="00254084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Units should</w:t>
      </w:r>
      <w:r w:rsidR="00686A95">
        <w:t xml:space="preserve"> determine the best approach to participation in the NEY benchmarking process. </w:t>
      </w:r>
    </w:p>
    <w:p w14:paraId="21870E46" w14:textId="77777777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Some units identify a ‘lead’ </w:t>
      </w:r>
      <w:r w:rsidR="00EE57C4">
        <w:t>to</w:t>
      </w:r>
      <w:r>
        <w:t xml:space="preserve"> oversee</w:t>
      </w:r>
      <w:r w:rsidR="00EE57C4">
        <w:t xml:space="preserve"> the process. This includes; co-ordination of</w:t>
      </w:r>
      <w:r>
        <w:t xml:space="preserve"> the audit timetable</w:t>
      </w:r>
      <w:r w:rsidR="00717CB9">
        <w:t>,</w:t>
      </w:r>
      <w:r w:rsidR="00EE57C4">
        <w:t xml:space="preserve"> </w:t>
      </w:r>
      <w:r>
        <w:t>submission</w:t>
      </w:r>
      <w:r w:rsidR="00717CB9">
        <w:t xml:space="preserve"> </w:t>
      </w:r>
      <w:r w:rsidR="00EE57C4">
        <w:t xml:space="preserve">of results </w:t>
      </w:r>
      <w:r w:rsidR="00717CB9">
        <w:t>to the network</w:t>
      </w:r>
      <w:r>
        <w:t xml:space="preserve"> and follow up </w:t>
      </w:r>
      <w:r w:rsidR="00EE57C4">
        <w:t xml:space="preserve">of any </w:t>
      </w:r>
      <w:r>
        <w:t xml:space="preserve">improvement actions </w:t>
      </w:r>
      <w:r w:rsidR="00EE57C4">
        <w:t>required. T</w:t>
      </w:r>
      <w:r>
        <w:t xml:space="preserve">his person does not carry out the data collection </w:t>
      </w:r>
      <w:r w:rsidR="002D7661">
        <w:t>themselves, this would be</w:t>
      </w:r>
      <w:r w:rsidR="00717CB9">
        <w:t xml:space="preserve"> carried out by champions of </w:t>
      </w:r>
      <w:r w:rsidR="00A94C88">
        <w:t xml:space="preserve">the scheduled topic </w:t>
      </w:r>
      <w:r w:rsidR="002D7661">
        <w:t>e.g. the unit’s tissue viability link nurse would carry out the pressure ulcer prevention audit</w:t>
      </w:r>
    </w:p>
    <w:p w14:paraId="553B67D6" w14:textId="77777777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In other units, the ‘lead’ carries out </w:t>
      </w:r>
      <w:r w:rsidR="00717CB9">
        <w:t xml:space="preserve">all </w:t>
      </w:r>
      <w:r>
        <w:t>the audits for each scheduled topic.</w:t>
      </w:r>
    </w:p>
    <w:p w14:paraId="630B5B1D" w14:textId="25726912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Each unit should have an identified contact person for benchmarking</w:t>
      </w:r>
    </w:p>
    <w:p w14:paraId="314DECCD" w14:textId="77777777" w:rsidR="00307443" w:rsidRDefault="006B4CCA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The audit process requires the assessment of care delivery against agreed evidence based standards </w:t>
      </w:r>
      <w:r w:rsidR="00307443">
        <w:t xml:space="preserve">and involves the review of care </w:t>
      </w:r>
      <w:r>
        <w:t>for 5 appropriate patients</w:t>
      </w:r>
      <w:r w:rsidR="00307443">
        <w:t xml:space="preserve">. </w:t>
      </w:r>
    </w:p>
    <w:p w14:paraId="3135AFE1" w14:textId="15823F8E" w:rsidR="006B4CCA" w:rsidRDefault="00307443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The previous 24 hour period should be used to carry out the audit. </w:t>
      </w:r>
    </w:p>
    <w:p w14:paraId="40F2DDAB" w14:textId="79567973" w:rsidR="006B4CCA" w:rsidRDefault="006B4CCA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lastRenderedPageBreak/>
        <w:t>For topics which may occur less frequently e.g. tracheostomy care, it is acceptable to review the care of one patient across 5 days which may or may not be consecutive.</w:t>
      </w:r>
    </w:p>
    <w:p w14:paraId="45B34BF0" w14:textId="77777777" w:rsidR="00243F6C" w:rsidRDefault="00686A95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Units should ensure</w:t>
      </w:r>
      <w:r w:rsidR="00730509">
        <w:t xml:space="preserve"> the</w:t>
      </w:r>
      <w:r>
        <w:t xml:space="preserve"> governance process includes lead nurse review of </w:t>
      </w:r>
      <w:r w:rsidR="00107E35">
        <w:t xml:space="preserve">local </w:t>
      </w:r>
      <w:r>
        <w:t xml:space="preserve">data </w:t>
      </w:r>
      <w:r w:rsidRPr="00243F6C">
        <w:rPr>
          <w:b/>
          <w:i/>
          <w:u w:val="single"/>
        </w:rPr>
        <w:t>prior</w:t>
      </w:r>
      <w:r w:rsidRPr="00243F6C">
        <w:rPr>
          <w:b/>
          <w:i/>
        </w:rPr>
        <w:t xml:space="preserve"> </w:t>
      </w:r>
      <w:r>
        <w:t>to submission to the network</w:t>
      </w:r>
    </w:p>
    <w:p w14:paraId="0A751F51" w14:textId="77777777" w:rsidR="00243F6C" w:rsidRDefault="00107E35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Benchmark data should be submitted to the respective network by the 4th of the following month. E.g. if pressure ulcer prevention is the benchmark for June , the audit against the best practice interventions </w:t>
      </w:r>
      <w:r w:rsidR="00A94C88">
        <w:t xml:space="preserve">occurs </w:t>
      </w:r>
      <w:r>
        <w:t>during June and following senior nurse review</w:t>
      </w:r>
      <w:r w:rsidR="00254084">
        <w:t xml:space="preserve"> and sign off of the results</w:t>
      </w:r>
      <w:r>
        <w:t>, data should be submitted to the network by the 4th July.</w:t>
      </w:r>
    </w:p>
    <w:p w14:paraId="4A3F13D5" w14:textId="77777777" w:rsidR="00107E35" w:rsidRDefault="00A94C88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Collated n</w:t>
      </w:r>
      <w:r w:rsidR="00107E35">
        <w:t xml:space="preserve">etwork data  is emailed to: </w:t>
      </w:r>
      <w:hyperlink r:id="rId11" w:history="1">
        <w:r w:rsidR="00107E35" w:rsidRPr="00BE085D">
          <w:rPr>
            <w:rStyle w:val="Hyperlink"/>
          </w:rPr>
          <w:t>sam.rogers3@nhs.net</w:t>
        </w:r>
      </w:hyperlink>
      <w:r w:rsidR="00107E35">
        <w:t xml:space="preserve"> </w:t>
      </w:r>
      <w:r>
        <w:t xml:space="preserve">two weeks prior to the </w:t>
      </w:r>
      <w:r w:rsidR="00107E35">
        <w:t>regional benchmarking meeting</w:t>
      </w:r>
    </w:p>
    <w:p w14:paraId="70E8AF10" w14:textId="77777777" w:rsidR="00107E35" w:rsidRDefault="00107E35" w:rsidP="00254084">
      <w:pPr>
        <w:spacing w:after="0" w:line="240" w:lineRule="auto"/>
      </w:pPr>
      <w:r>
        <w:t>Collated network data will be presented at individual network forums as agreed</w:t>
      </w:r>
    </w:p>
    <w:p w14:paraId="2990ED1A" w14:textId="77777777" w:rsidR="009D3DA0" w:rsidRDefault="009D3DA0" w:rsidP="00254084">
      <w:pPr>
        <w:spacing w:after="0" w:line="240" w:lineRule="auto"/>
      </w:pPr>
    </w:p>
    <w:p w14:paraId="37E4D4B0" w14:textId="77777777" w:rsidR="00842321" w:rsidRDefault="00254084" w:rsidP="00254084">
      <w:pPr>
        <w:spacing w:after="0" w:line="240" w:lineRule="auto"/>
        <w:rPr>
          <w:rStyle w:val="Heading1Char"/>
          <w:rFonts w:asciiTheme="minorHAnsi" w:hAnsiTheme="minorHAnsi" w:cstheme="minorHAnsi"/>
        </w:rPr>
      </w:pPr>
      <w:r>
        <w:rPr>
          <w:rStyle w:val="Heading1Char"/>
          <w:rFonts w:asciiTheme="minorHAnsi" w:hAnsiTheme="minorHAnsi" w:cstheme="minorHAnsi"/>
        </w:rPr>
        <w:t>6</w:t>
      </w:r>
      <w:r w:rsidR="00842321">
        <w:rPr>
          <w:rStyle w:val="Heading1Char"/>
          <w:rFonts w:asciiTheme="minorHAnsi" w:hAnsiTheme="minorHAnsi" w:cstheme="minorHAnsi"/>
        </w:rPr>
        <w:t>.</w:t>
      </w:r>
      <w:r w:rsidR="00730509">
        <w:rPr>
          <w:rStyle w:val="Heading1Char"/>
          <w:rFonts w:asciiTheme="minorHAnsi" w:hAnsiTheme="minorHAnsi" w:cstheme="minorHAnsi"/>
        </w:rPr>
        <w:t xml:space="preserve"> </w:t>
      </w:r>
      <w:r w:rsidR="00842321">
        <w:rPr>
          <w:rStyle w:val="Heading1Char"/>
          <w:rFonts w:asciiTheme="minorHAnsi" w:hAnsiTheme="minorHAnsi" w:cstheme="minorHAnsi"/>
        </w:rPr>
        <w:t>Benchmarking for Improvement</w:t>
      </w:r>
    </w:p>
    <w:p w14:paraId="60C04066" w14:textId="77777777" w:rsidR="00730509" w:rsidRDefault="00693A97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There are many tools available to support quality improvement </w:t>
      </w:r>
      <w:r w:rsidR="008D6EE7">
        <w:rPr>
          <w:color w:val="000000" w:themeColor="text1"/>
        </w:rPr>
        <w:t xml:space="preserve">(QI) </w:t>
      </w:r>
      <w:r>
        <w:rPr>
          <w:color w:val="000000" w:themeColor="text1"/>
        </w:rPr>
        <w:t xml:space="preserve">in the NHS: </w:t>
      </w:r>
      <w:hyperlink r:id="rId12" w:history="1">
        <w:r w:rsidRPr="00EA60E5">
          <w:rPr>
            <w:rStyle w:val="Hyperlink"/>
          </w:rPr>
          <w:t>https://www.england.nhs.uk/sustainableimprovement/qsir-programme/qsir-tools/</w:t>
        </w:r>
      </w:hyperlink>
      <w:r>
        <w:rPr>
          <w:color w:val="000000" w:themeColor="text1"/>
        </w:rPr>
        <w:t xml:space="preserve"> and </w:t>
      </w:r>
      <w:r w:rsidR="008D6EE7">
        <w:rPr>
          <w:color w:val="000000" w:themeColor="text1"/>
        </w:rPr>
        <w:t>networks are uniquely placed to support collaborative working across a wide geographical area</w:t>
      </w:r>
      <w:r w:rsidR="00E210D6">
        <w:rPr>
          <w:color w:val="000000" w:themeColor="text1"/>
        </w:rPr>
        <w:t>, however l</w:t>
      </w:r>
      <w:r w:rsidR="008D6EE7">
        <w:rPr>
          <w:color w:val="000000" w:themeColor="text1"/>
        </w:rPr>
        <w:t xml:space="preserve">ocal improvement is </w:t>
      </w:r>
      <w:r w:rsidR="00E210D6">
        <w:rPr>
          <w:color w:val="000000" w:themeColor="text1"/>
        </w:rPr>
        <w:t xml:space="preserve">also </w:t>
      </w:r>
      <w:r w:rsidR="008D6EE7">
        <w:rPr>
          <w:color w:val="000000" w:themeColor="text1"/>
        </w:rPr>
        <w:t xml:space="preserve">an essential part of the benchmarking process. Following data collection </w:t>
      </w:r>
      <w:r w:rsidR="00E210D6">
        <w:rPr>
          <w:color w:val="000000" w:themeColor="text1"/>
        </w:rPr>
        <w:t xml:space="preserve">at unit level </w:t>
      </w:r>
      <w:r w:rsidR="008D6EE7">
        <w:rPr>
          <w:color w:val="000000" w:themeColor="text1"/>
        </w:rPr>
        <w:t>and review by the senior nurse, it is imperative that critical care teams are included in the feedback of results</w:t>
      </w:r>
      <w:r w:rsidR="00A94C88">
        <w:rPr>
          <w:color w:val="000000" w:themeColor="text1"/>
        </w:rPr>
        <w:t xml:space="preserve"> and action planning</w:t>
      </w:r>
      <w:r w:rsidR="008D6EE7">
        <w:rPr>
          <w:color w:val="000000" w:themeColor="text1"/>
        </w:rPr>
        <w:t xml:space="preserve">, regardless of the </w:t>
      </w:r>
      <w:r w:rsidR="00A94C88">
        <w:rPr>
          <w:color w:val="000000" w:themeColor="text1"/>
        </w:rPr>
        <w:t>level of compliance</w:t>
      </w:r>
      <w:r w:rsidR="008D6EE7">
        <w:rPr>
          <w:color w:val="000000" w:themeColor="text1"/>
        </w:rPr>
        <w:t xml:space="preserve">. Being proud of achievements can be motivating for teams and </w:t>
      </w:r>
      <w:r w:rsidR="00E210D6">
        <w:rPr>
          <w:color w:val="000000" w:themeColor="text1"/>
        </w:rPr>
        <w:t xml:space="preserve">likewise, the ability </w:t>
      </w:r>
      <w:r w:rsidR="008D6EE7">
        <w:rPr>
          <w:color w:val="000000" w:themeColor="text1"/>
        </w:rPr>
        <w:t xml:space="preserve">to improve compliance with best practice </w:t>
      </w:r>
      <w:r w:rsidR="00E210D6">
        <w:rPr>
          <w:color w:val="000000" w:themeColor="text1"/>
        </w:rPr>
        <w:t>interventions</w:t>
      </w:r>
      <w:r w:rsidR="008D6EE7">
        <w:rPr>
          <w:color w:val="000000" w:themeColor="text1"/>
        </w:rPr>
        <w:t xml:space="preserve"> can be rewarding and could form part of </w:t>
      </w:r>
      <w:r w:rsidR="00E210D6">
        <w:rPr>
          <w:color w:val="000000" w:themeColor="text1"/>
        </w:rPr>
        <w:t>an individual’s</w:t>
      </w:r>
      <w:r w:rsidR="008D6EE7">
        <w:rPr>
          <w:color w:val="000000" w:themeColor="text1"/>
        </w:rPr>
        <w:t xml:space="preserve"> personal development plan. Targeting aspect</w:t>
      </w:r>
      <w:r w:rsidR="00E210D6">
        <w:rPr>
          <w:color w:val="000000" w:themeColor="text1"/>
        </w:rPr>
        <w:t>s</w:t>
      </w:r>
      <w:r w:rsidR="008D6EE7">
        <w:rPr>
          <w:color w:val="000000" w:themeColor="text1"/>
        </w:rPr>
        <w:t xml:space="preserve"> of non -compliance should include collaboration with relevant </w:t>
      </w:r>
      <w:r w:rsidR="00E210D6">
        <w:rPr>
          <w:color w:val="000000" w:themeColor="text1"/>
        </w:rPr>
        <w:t xml:space="preserve">members of the team e.g. </w:t>
      </w:r>
      <w:r w:rsidR="008D6EE7">
        <w:rPr>
          <w:color w:val="000000" w:themeColor="text1"/>
        </w:rPr>
        <w:t xml:space="preserve">link nurses, AHP’s, medical staff and critical care clinical educators. </w:t>
      </w:r>
    </w:p>
    <w:p w14:paraId="4A736870" w14:textId="77777777" w:rsidR="00E210D6" w:rsidRDefault="00E210D6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487A734B" w14:textId="77777777" w:rsidR="00E210D6" w:rsidRDefault="00E210D6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1CA5DF96" w14:textId="77777777" w:rsidR="00E210D6" w:rsidRDefault="00E210D6" w:rsidP="00E210D6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7</w:t>
      </w:r>
      <w:r w:rsidRPr="00E210D6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Further Information</w:t>
      </w:r>
    </w:p>
    <w:p w14:paraId="227F4114" w14:textId="77777777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Further information regarding the benchmarking tools, audit calendar, links to resources and contact details can be found:</w:t>
      </w:r>
    </w:p>
    <w:p w14:paraId="06F06FF7" w14:textId="32470074" w:rsidR="00243F6C" w:rsidRDefault="006B4CCA" w:rsidP="00E210D6">
      <w:pPr>
        <w:spacing w:after="0" w:line="240" w:lineRule="auto"/>
        <w:rPr>
          <w:color w:val="000000" w:themeColor="text1"/>
        </w:rPr>
      </w:pPr>
      <w:r>
        <w:t xml:space="preserve">West Yorkshire: </w:t>
      </w:r>
      <w:hyperlink r:id="rId13" w:history="1">
        <w:r w:rsidR="00243F6C" w:rsidRPr="007F6024">
          <w:rPr>
            <w:rStyle w:val="Hyperlink"/>
          </w:rPr>
          <w:t>https://www.wyccn.org/regional-benchmarking-group.html</w:t>
        </w:r>
      </w:hyperlink>
    </w:p>
    <w:p w14:paraId="51040616" w14:textId="041BBF07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South Yorkshire &amp; Bassetlaw</w:t>
      </w:r>
      <w:r w:rsidR="006B4CCA">
        <w:rPr>
          <w:color w:val="000000" w:themeColor="text1"/>
        </w:rPr>
        <w:t xml:space="preserve">: </w:t>
      </w:r>
      <w:hyperlink r:id="rId14" w:history="1">
        <w:r w:rsidR="0014283F" w:rsidRPr="009332B8">
          <w:rPr>
            <w:rStyle w:val="Hyperlink"/>
          </w:rPr>
          <w:t>https://www.sybccn.org/benchmarking.html</w:t>
        </w:r>
      </w:hyperlink>
      <w:r w:rsidR="0014283F">
        <w:rPr>
          <w:color w:val="000000" w:themeColor="text1"/>
        </w:rPr>
        <w:t xml:space="preserve"> </w:t>
      </w:r>
    </w:p>
    <w:p w14:paraId="226A4C0A" w14:textId="1E0BACDA" w:rsidR="00E210D6" w:rsidRDefault="00BD0778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North Yorkshire &amp; </w:t>
      </w:r>
      <w:r w:rsidR="00E210D6">
        <w:rPr>
          <w:color w:val="000000" w:themeColor="text1"/>
        </w:rPr>
        <w:t>Humber</w:t>
      </w:r>
      <w:r>
        <w:rPr>
          <w:color w:val="000000" w:themeColor="text1"/>
        </w:rPr>
        <w:t>side</w:t>
      </w:r>
      <w:r w:rsidR="006B4CCA">
        <w:rPr>
          <w:color w:val="000000" w:themeColor="text1"/>
        </w:rPr>
        <w:t xml:space="preserve">: </w:t>
      </w:r>
    </w:p>
    <w:p w14:paraId="62F3F180" w14:textId="0B7C4996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North of England</w:t>
      </w:r>
      <w:r w:rsidR="006B4CCA">
        <w:rPr>
          <w:color w:val="000000" w:themeColor="text1"/>
        </w:rPr>
        <w:t xml:space="preserve">: </w:t>
      </w:r>
      <w:hyperlink r:id="rId15" w:history="1">
        <w:r w:rsidR="006B4CCA" w:rsidRPr="008050F1">
          <w:rPr>
            <w:color w:val="0000FF"/>
            <w:u w:val="single"/>
          </w:rPr>
          <w:t>North of England Critical Care Network - Benchmarking Group (noeccn.org.uk)</w:t>
        </w:r>
      </w:hyperlink>
    </w:p>
    <w:p w14:paraId="43849B7C" w14:textId="77777777" w:rsidR="00CA41FA" w:rsidRDefault="00CA41FA" w:rsidP="00E210D6">
      <w:pPr>
        <w:spacing w:after="0" w:line="240" w:lineRule="auto"/>
        <w:rPr>
          <w:color w:val="000000" w:themeColor="text1"/>
        </w:rPr>
      </w:pPr>
    </w:p>
    <w:p w14:paraId="514DB1AC" w14:textId="77777777" w:rsidR="00CA41FA" w:rsidRPr="00CA41FA" w:rsidRDefault="00CA41FA" w:rsidP="00CA41FA">
      <w:pPr>
        <w:pStyle w:val="Heading1"/>
        <w:rPr>
          <w:rFonts w:asciiTheme="minorHAnsi" w:hAnsiTheme="minorHAnsi" w:cstheme="minorHAnsi"/>
        </w:rPr>
      </w:pPr>
      <w:r w:rsidRPr="00CA41FA">
        <w:rPr>
          <w:rFonts w:asciiTheme="minorHAnsi" w:hAnsiTheme="minorHAnsi" w:cstheme="minorHAnsi"/>
        </w:rPr>
        <w:t>8. References</w:t>
      </w:r>
    </w:p>
    <w:p w14:paraId="2CA5F438" w14:textId="77777777" w:rsidR="00CA41FA" w:rsidRDefault="00CA41FA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RCN (2017) Understanding Benchmarking: </w:t>
      </w:r>
      <w:hyperlink r:id="rId16" w:history="1">
        <w:r w:rsidRPr="00C15B2E">
          <w:rPr>
            <w:rStyle w:val="Hyperlink"/>
          </w:rPr>
          <w:t>https://www.rcn.org.uk/Professional-Development/publications/pub-006333</w:t>
        </w:r>
      </w:hyperlink>
      <w:r>
        <w:rPr>
          <w:color w:val="000000" w:themeColor="text1"/>
        </w:rPr>
        <w:t xml:space="preserve"> </w:t>
      </w:r>
    </w:p>
    <w:p w14:paraId="7596CEEC" w14:textId="77777777" w:rsidR="00842321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358D37FC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5A988F4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53F7BA47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61B21420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7BB03C5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2C8C3E83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1B46E5EF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9EFBA19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4CC3145E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72F13855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2B0AFB15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5F4F252D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7A52134C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39BB56A7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62F80AE0" w14:textId="77777777" w:rsidR="00254084" w:rsidRDefault="00254084" w:rsidP="00254084">
      <w:pPr>
        <w:pStyle w:val="Heading1"/>
        <w:rPr>
          <w:rFonts w:asciiTheme="minorHAnsi" w:hAnsiTheme="minorHAnsi" w:cstheme="minorHAnsi"/>
        </w:rPr>
      </w:pPr>
      <w:r w:rsidRPr="00254084">
        <w:rPr>
          <w:rFonts w:asciiTheme="minorHAnsi" w:hAnsiTheme="minorHAnsi" w:cstheme="minorHAnsi"/>
        </w:rPr>
        <w:t>Appendix 1 -</w:t>
      </w:r>
      <w:r w:rsidR="00A94C88">
        <w:rPr>
          <w:rFonts w:asciiTheme="minorHAnsi" w:hAnsiTheme="minorHAnsi" w:cstheme="minorHAnsi"/>
        </w:rPr>
        <w:t xml:space="preserve"> </w:t>
      </w:r>
      <w:r w:rsidRPr="00254084">
        <w:rPr>
          <w:rFonts w:asciiTheme="minorHAnsi" w:hAnsiTheme="minorHAnsi" w:cstheme="minorHAnsi"/>
        </w:rPr>
        <w:t>NEY Critical Care Networks and Units</w:t>
      </w:r>
    </w:p>
    <w:p w14:paraId="60C614C8" w14:textId="77777777" w:rsidR="00254084" w:rsidRPr="00254084" w:rsidRDefault="00254084" w:rsidP="00254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4084" w14:paraId="39CF1A28" w14:textId="77777777" w:rsidTr="007D2429">
        <w:tc>
          <w:tcPr>
            <w:tcW w:w="4621" w:type="dxa"/>
          </w:tcPr>
          <w:p w14:paraId="2A181B98" w14:textId="77777777" w:rsidR="00254084" w:rsidRDefault="00254084" w:rsidP="007D2429">
            <w:r>
              <w:t>West Yorkshire Critical Care Network</w:t>
            </w:r>
          </w:p>
        </w:tc>
        <w:tc>
          <w:tcPr>
            <w:tcW w:w="4621" w:type="dxa"/>
          </w:tcPr>
          <w:p w14:paraId="79E74F03" w14:textId="77777777" w:rsidR="00254084" w:rsidRDefault="00254084" w:rsidP="007D2429">
            <w:r>
              <w:t xml:space="preserve">Airedale </w:t>
            </w:r>
            <w:r w:rsidR="00243F6C">
              <w:t>ICU/HDU</w:t>
            </w:r>
          </w:p>
        </w:tc>
      </w:tr>
      <w:tr w:rsidR="00A94C88" w14:paraId="38F03C1C" w14:textId="77777777" w:rsidTr="007D2429">
        <w:tc>
          <w:tcPr>
            <w:tcW w:w="4621" w:type="dxa"/>
          </w:tcPr>
          <w:p w14:paraId="592B31F1" w14:textId="77777777" w:rsidR="00A94C88" w:rsidRDefault="00A94C88" w:rsidP="007D2429"/>
        </w:tc>
        <w:tc>
          <w:tcPr>
            <w:tcW w:w="4621" w:type="dxa"/>
          </w:tcPr>
          <w:p w14:paraId="6927DA57" w14:textId="77777777" w:rsidR="00A94C88" w:rsidRDefault="00A94C88" w:rsidP="009B66ED">
            <w:r>
              <w:t xml:space="preserve">Bradford </w:t>
            </w:r>
            <w:r w:rsidR="00243F6C">
              <w:t>ICU/HDU</w:t>
            </w:r>
          </w:p>
        </w:tc>
      </w:tr>
      <w:tr w:rsidR="00A94C88" w14:paraId="2E665F88" w14:textId="77777777" w:rsidTr="007D2429">
        <w:tc>
          <w:tcPr>
            <w:tcW w:w="4621" w:type="dxa"/>
          </w:tcPr>
          <w:p w14:paraId="733EC55A" w14:textId="77777777" w:rsidR="00A94C88" w:rsidRDefault="00A94C88" w:rsidP="007D2429"/>
        </w:tc>
        <w:tc>
          <w:tcPr>
            <w:tcW w:w="4621" w:type="dxa"/>
          </w:tcPr>
          <w:p w14:paraId="4A25FCF7" w14:textId="77777777" w:rsidR="00A94C88" w:rsidRDefault="00A94C88" w:rsidP="009B66ED">
            <w:r>
              <w:t xml:space="preserve">Calderdale and Huddersfield </w:t>
            </w:r>
            <w:r w:rsidR="00243F6C">
              <w:t>ICU/HDU</w:t>
            </w:r>
          </w:p>
        </w:tc>
      </w:tr>
      <w:tr w:rsidR="00A94C88" w14:paraId="620B6047" w14:textId="77777777" w:rsidTr="007D2429">
        <w:tc>
          <w:tcPr>
            <w:tcW w:w="4621" w:type="dxa"/>
          </w:tcPr>
          <w:p w14:paraId="286BA90B" w14:textId="77777777" w:rsidR="00A94C88" w:rsidRDefault="00A94C88" w:rsidP="007D2429"/>
        </w:tc>
        <w:tc>
          <w:tcPr>
            <w:tcW w:w="4621" w:type="dxa"/>
          </w:tcPr>
          <w:p w14:paraId="4540CD28" w14:textId="77777777" w:rsidR="00A94C88" w:rsidRDefault="00A94C88" w:rsidP="007D2429">
            <w:r>
              <w:t xml:space="preserve">Harrogate </w:t>
            </w:r>
            <w:r w:rsidR="00243F6C">
              <w:t>ICU/HDU</w:t>
            </w:r>
          </w:p>
        </w:tc>
      </w:tr>
      <w:tr w:rsidR="00A94C88" w14:paraId="2D9762CF" w14:textId="77777777" w:rsidTr="007D2429">
        <w:tc>
          <w:tcPr>
            <w:tcW w:w="4621" w:type="dxa"/>
          </w:tcPr>
          <w:p w14:paraId="69798172" w14:textId="77777777" w:rsidR="00A94C88" w:rsidRDefault="00A94C88" w:rsidP="007D2429"/>
        </w:tc>
        <w:tc>
          <w:tcPr>
            <w:tcW w:w="4621" w:type="dxa"/>
          </w:tcPr>
          <w:p w14:paraId="7567E3B4" w14:textId="77777777" w:rsidR="00A94C88" w:rsidRDefault="00A94C88" w:rsidP="007D2429">
            <w:r>
              <w:t xml:space="preserve">Pinderfields </w:t>
            </w:r>
            <w:r w:rsidR="00243F6C">
              <w:t>ICU/HDU</w:t>
            </w:r>
          </w:p>
        </w:tc>
      </w:tr>
      <w:tr w:rsidR="00A94C88" w14:paraId="06CDF328" w14:textId="77777777" w:rsidTr="007D2429">
        <w:tc>
          <w:tcPr>
            <w:tcW w:w="4621" w:type="dxa"/>
          </w:tcPr>
          <w:p w14:paraId="23B660C3" w14:textId="77777777" w:rsidR="00A94C88" w:rsidRDefault="00A94C88" w:rsidP="007D2429"/>
        </w:tc>
        <w:tc>
          <w:tcPr>
            <w:tcW w:w="4621" w:type="dxa"/>
          </w:tcPr>
          <w:p w14:paraId="26AAF035" w14:textId="77777777" w:rsidR="00A94C88" w:rsidRDefault="00A94C88" w:rsidP="007D2429">
            <w:r>
              <w:t>Leeds General Infirmary General ICU</w:t>
            </w:r>
            <w:r w:rsidR="00243F6C">
              <w:t>/HDU</w:t>
            </w:r>
          </w:p>
        </w:tc>
      </w:tr>
      <w:tr w:rsidR="00A94C88" w14:paraId="1B8CAD94" w14:textId="77777777" w:rsidTr="007D2429">
        <w:tc>
          <w:tcPr>
            <w:tcW w:w="4621" w:type="dxa"/>
          </w:tcPr>
          <w:p w14:paraId="25F5E71A" w14:textId="77777777" w:rsidR="00A94C88" w:rsidRDefault="00A94C88" w:rsidP="007D2429"/>
        </w:tc>
        <w:tc>
          <w:tcPr>
            <w:tcW w:w="4621" w:type="dxa"/>
          </w:tcPr>
          <w:p w14:paraId="65AF924E" w14:textId="77777777" w:rsidR="00A94C88" w:rsidRDefault="00A94C88" w:rsidP="007D2429">
            <w:r>
              <w:t xml:space="preserve">Leeds General Infirmary Cardiac </w:t>
            </w:r>
            <w:r w:rsidR="00243F6C">
              <w:t>ICU/HDU</w:t>
            </w:r>
          </w:p>
        </w:tc>
      </w:tr>
      <w:tr w:rsidR="00A94C88" w14:paraId="4ED47D37" w14:textId="77777777" w:rsidTr="007D2429">
        <w:tc>
          <w:tcPr>
            <w:tcW w:w="4621" w:type="dxa"/>
          </w:tcPr>
          <w:p w14:paraId="7EEBC82D" w14:textId="77777777" w:rsidR="00A94C88" w:rsidRDefault="00A94C88" w:rsidP="007D2429"/>
        </w:tc>
        <w:tc>
          <w:tcPr>
            <w:tcW w:w="4621" w:type="dxa"/>
          </w:tcPr>
          <w:p w14:paraId="366B5624" w14:textId="77777777" w:rsidR="00A94C88" w:rsidRDefault="00A94C88" w:rsidP="007D2429">
            <w:r>
              <w:t xml:space="preserve">Leeds General Infirmary Neuro </w:t>
            </w:r>
            <w:r w:rsidR="00243F6C">
              <w:t>ICU/HDU</w:t>
            </w:r>
          </w:p>
        </w:tc>
      </w:tr>
      <w:tr w:rsidR="00A94C88" w14:paraId="68CD8500" w14:textId="77777777" w:rsidTr="007D2429">
        <w:tc>
          <w:tcPr>
            <w:tcW w:w="4621" w:type="dxa"/>
          </w:tcPr>
          <w:p w14:paraId="48D49487" w14:textId="77777777" w:rsidR="00A94C88" w:rsidRDefault="00A94C88" w:rsidP="007D2429"/>
        </w:tc>
        <w:tc>
          <w:tcPr>
            <w:tcW w:w="4621" w:type="dxa"/>
          </w:tcPr>
          <w:p w14:paraId="1E52C7F3" w14:textId="77777777" w:rsidR="00A94C88" w:rsidRDefault="00A94C88" w:rsidP="00243F6C">
            <w:r>
              <w:t xml:space="preserve">St James University Hospital General </w:t>
            </w:r>
            <w:r w:rsidR="00243F6C">
              <w:t>ICU/HDU (J54)</w:t>
            </w:r>
          </w:p>
        </w:tc>
      </w:tr>
      <w:tr w:rsidR="00A94C88" w14:paraId="1A7C2BD1" w14:textId="77777777" w:rsidTr="007D2429">
        <w:tc>
          <w:tcPr>
            <w:tcW w:w="4621" w:type="dxa"/>
          </w:tcPr>
          <w:p w14:paraId="2F743508" w14:textId="77777777" w:rsidR="00A94C88" w:rsidRDefault="00A94C88" w:rsidP="007D2429"/>
        </w:tc>
        <w:tc>
          <w:tcPr>
            <w:tcW w:w="4621" w:type="dxa"/>
          </w:tcPr>
          <w:p w14:paraId="18233A31" w14:textId="77777777" w:rsidR="00A94C88" w:rsidRDefault="00A94C88" w:rsidP="007D2429">
            <w:r>
              <w:t xml:space="preserve">St James University Hospital </w:t>
            </w:r>
            <w:r w:rsidR="00243F6C">
              <w:t>ICU/HDU (J81)</w:t>
            </w:r>
          </w:p>
        </w:tc>
      </w:tr>
      <w:tr w:rsidR="00A94C88" w14:paraId="46D30D53" w14:textId="77777777" w:rsidTr="007D2429">
        <w:tc>
          <w:tcPr>
            <w:tcW w:w="4621" w:type="dxa"/>
          </w:tcPr>
          <w:p w14:paraId="28A9A561" w14:textId="77777777" w:rsidR="00A94C88" w:rsidRDefault="00A94C88" w:rsidP="007D2429">
            <w:r>
              <w:t>South Yorkshire Critical Care Network</w:t>
            </w:r>
          </w:p>
        </w:tc>
        <w:tc>
          <w:tcPr>
            <w:tcW w:w="4621" w:type="dxa"/>
          </w:tcPr>
          <w:p w14:paraId="0F3A3369" w14:textId="77777777" w:rsidR="00A94C88" w:rsidRDefault="00A94C88" w:rsidP="007D2429">
            <w:r>
              <w:t>Barnsley ICU</w:t>
            </w:r>
          </w:p>
        </w:tc>
      </w:tr>
      <w:tr w:rsidR="00A94C88" w14:paraId="29583225" w14:textId="77777777" w:rsidTr="007D2429">
        <w:tc>
          <w:tcPr>
            <w:tcW w:w="4621" w:type="dxa"/>
          </w:tcPr>
          <w:p w14:paraId="29B2FC40" w14:textId="77777777" w:rsidR="00A94C88" w:rsidRDefault="00A94C88" w:rsidP="007D2429"/>
        </w:tc>
        <w:tc>
          <w:tcPr>
            <w:tcW w:w="4621" w:type="dxa"/>
          </w:tcPr>
          <w:p w14:paraId="5283E795" w14:textId="77777777" w:rsidR="00A94C88" w:rsidRDefault="00A94C88" w:rsidP="007D2429">
            <w:r>
              <w:t>Bassetlaw ICU</w:t>
            </w:r>
          </w:p>
        </w:tc>
      </w:tr>
      <w:tr w:rsidR="00A94C88" w14:paraId="00F8BC94" w14:textId="77777777" w:rsidTr="007D2429">
        <w:tc>
          <w:tcPr>
            <w:tcW w:w="4621" w:type="dxa"/>
          </w:tcPr>
          <w:p w14:paraId="37888850" w14:textId="77777777" w:rsidR="00A94C88" w:rsidRDefault="00A94C88" w:rsidP="007D2429"/>
        </w:tc>
        <w:tc>
          <w:tcPr>
            <w:tcW w:w="4621" w:type="dxa"/>
          </w:tcPr>
          <w:p w14:paraId="0BE23ADC" w14:textId="77777777" w:rsidR="00A94C88" w:rsidRDefault="00A94C88" w:rsidP="007D2429">
            <w:r>
              <w:t>Doncaster ICU</w:t>
            </w:r>
          </w:p>
        </w:tc>
      </w:tr>
      <w:tr w:rsidR="00A94C88" w14:paraId="6DCB37D3" w14:textId="77777777" w:rsidTr="007D2429">
        <w:tc>
          <w:tcPr>
            <w:tcW w:w="4621" w:type="dxa"/>
          </w:tcPr>
          <w:p w14:paraId="61672526" w14:textId="77777777" w:rsidR="00A94C88" w:rsidRDefault="00A94C88" w:rsidP="007D2429"/>
        </w:tc>
        <w:tc>
          <w:tcPr>
            <w:tcW w:w="4621" w:type="dxa"/>
          </w:tcPr>
          <w:p w14:paraId="4D09032A" w14:textId="77777777" w:rsidR="00A94C88" w:rsidRDefault="00A94C88" w:rsidP="007D2429">
            <w:r w:rsidRPr="00C33E9B">
              <w:t>Rotherham ICU</w:t>
            </w:r>
          </w:p>
        </w:tc>
      </w:tr>
      <w:tr w:rsidR="00A94C88" w14:paraId="3AB8F467" w14:textId="77777777" w:rsidTr="007D2429">
        <w:tc>
          <w:tcPr>
            <w:tcW w:w="4621" w:type="dxa"/>
          </w:tcPr>
          <w:p w14:paraId="28298421" w14:textId="77777777" w:rsidR="00A94C88" w:rsidRDefault="00A94C88" w:rsidP="007D2429"/>
        </w:tc>
        <w:tc>
          <w:tcPr>
            <w:tcW w:w="4621" w:type="dxa"/>
          </w:tcPr>
          <w:p w14:paraId="5BBE9DCF" w14:textId="77777777" w:rsidR="00A94C88" w:rsidRPr="00C33E9B" w:rsidRDefault="00A94C88" w:rsidP="007D2429">
            <w:r>
              <w:t>Northern General Hospital General ICU</w:t>
            </w:r>
          </w:p>
        </w:tc>
      </w:tr>
      <w:tr w:rsidR="00A94C88" w14:paraId="497F4540" w14:textId="77777777" w:rsidTr="007D2429">
        <w:tc>
          <w:tcPr>
            <w:tcW w:w="4621" w:type="dxa"/>
          </w:tcPr>
          <w:p w14:paraId="6484E3F7" w14:textId="77777777" w:rsidR="00A94C88" w:rsidRDefault="00A94C88" w:rsidP="007D2429"/>
        </w:tc>
        <w:tc>
          <w:tcPr>
            <w:tcW w:w="4621" w:type="dxa"/>
          </w:tcPr>
          <w:p w14:paraId="592A5EAF" w14:textId="77777777" w:rsidR="00A94C88" w:rsidRDefault="00A94C88" w:rsidP="007D2429">
            <w:r>
              <w:t>Northern General Hospital Cardiac ICU</w:t>
            </w:r>
          </w:p>
        </w:tc>
      </w:tr>
      <w:tr w:rsidR="00A94C88" w14:paraId="7DFBAAB4" w14:textId="77777777" w:rsidTr="007D2429">
        <w:tc>
          <w:tcPr>
            <w:tcW w:w="4621" w:type="dxa"/>
          </w:tcPr>
          <w:p w14:paraId="329094BF" w14:textId="77777777" w:rsidR="00A94C88" w:rsidRDefault="00A94C88" w:rsidP="007D2429"/>
        </w:tc>
        <w:tc>
          <w:tcPr>
            <w:tcW w:w="4621" w:type="dxa"/>
          </w:tcPr>
          <w:p w14:paraId="6FA73DD3" w14:textId="77777777" w:rsidR="00A94C88" w:rsidRDefault="00A94C88" w:rsidP="007D2429">
            <w:r>
              <w:t>Royal Hallamshire Hospital General ICU</w:t>
            </w:r>
          </w:p>
        </w:tc>
      </w:tr>
      <w:tr w:rsidR="00A94C88" w14:paraId="57560FA7" w14:textId="77777777" w:rsidTr="007D2429">
        <w:tc>
          <w:tcPr>
            <w:tcW w:w="4621" w:type="dxa"/>
          </w:tcPr>
          <w:p w14:paraId="3AD0C0B0" w14:textId="77777777" w:rsidR="00A94C88" w:rsidRDefault="00A94C88" w:rsidP="007D2429"/>
        </w:tc>
        <w:tc>
          <w:tcPr>
            <w:tcW w:w="4621" w:type="dxa"/>
          </w:tcPr>
          <w:p w14:paraId="757CFF2B" w14:textId="77777777" w:rsidR="00A94C88" w:rsidRDefault="00A94C88" w:rsidP="007D2429">
            <w:r>
              <w:t>Royal Hallamshire Hospital Neuro ICU</w:t>
            </w:r>
          </w:p>
        </w:tc>
      </w:tr>
      <w:tr w:rsidR="00243F6C" w14:paraId="5204B183" w14:textId="77777777" w:rsidTr="00CB4E1E">
        <w:tc>
          <w:tcPr>
            <w:tcW w:w="4621" w:type="dxa"/>
          </w:tcPr>
          <w:p w14:paraId="1BA35D66" w14:textId="77777777" w:rsidR="00243F6C" w:rsidRDefault="00243F6C" w:rsidP="00BD0778">
            <w:r>
              <w:t>Humber, Coast &amp; Vale Critical Care Network</w:t>
            </w:r>
          </w:p>
        </w:tc>
        <w:tc>
          <w:tcPr>
            <w:tcW w:w="4621" w:type="dxa"/>
            <w:vAlign w:val="bottom"/>
          </w:tcPr>
          <w:p w14:paraId="6542E2D3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Royal Infirmary, Hull</w:t>
            </w:r>
          </w:p>
        </w:tc>
      </w:tr>
      <w:tr w:rsidR="00243F6C" w14:paraId="7DFA3C01" w14:textId="77777777" w:rsidTr="00CB4E1E">
        <w:tc>
          <w:tcPr>
            <w:tcW w:w="4621" w:type="dxa"/>
          </w:tcPr>
          <w:p w14:paraId="191AC7E8" w14:textId="77777777" w:rsidR="00243F6C" w:rsidRDefault="00243F6C" w:rsidP="007D2429"/>
        </w:tc>
        <w:tc>
          <w:tcPr>
            <w:tcW w:w="4621" w:type="dxa"/>
            <w:vAlign w:val="bottom"/>
          </w:tcPr>
          <w:p w14:paraId="3373D68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proofErr w:type="spellStart"/>
            <w:r w:rsidRPr="00EE57C4">
              <w:rPr>
                <w:rFonts w:cstheme="minorHAnsi"/>
                <w:color w:val="000000"/>
              </w:rPr>
              <w:t>Castlehill</w:t>
            </w:r>
            <w:proofErr w:type="spellEnd"/>
            <w:r w:rsidRPr="00EE57C4">
              <w:rPr>
                <w:rFonts w:cstheme="minorHAnsi"/>
                <w:color w:val="000000"/>
              </w:rPr>
              <w:t>, Hull</w:t>
            </w:r>
          </w:p>
        </w:tc>
      </w:tr>
      <w:tr w:rsidR="00243F6C" w14:paraId="7453565D" w14:textId="77777777" w:rsidTr="00CB4E1E">
        <w:tc>
          <w:tcPr>
            <w:tcW w:w="4621" w:type="dxa"/>
          </w:tcPr>
          <w:p w14:paraId="03DCE455" w14:textId="77777777" w:rsidR="00243F6C" w:rsidRDefault="00243F6C" w:rsidP="007D2429"/>
        </w:tc>
        <w:tc>
          <w:tcPr>
            <w:tcW w:w="4621" w:type="dxa"/>
            <w:vAlign w:val="bottom"/>
          </w:tcPr>
          <w:p w14:paraId="4C304EF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Scarborough</w:t>
            </w:r>
          </w:p>
        </w:tc>
      </w:tr>
      <w:tr w:rsidR="00243F6C" w14:paraId="2D571043" w14:textId="77777777" w:rsidTr="00CB4E1E">
        <w:tc>
          <w:tcPr>
            <w:tcW w:w="4621" w:type="dxa"/>
          </w:tcPr>
          <w:p w14:paraId="3C2523CC" w14:textId="77777777" w:rsidR="00243F6C" w:rsidRDefault="00243F6C" w:rsidP="007D2429"/>
        </w:tc>
        <w:tc>
          <w:tcPr>
            <w:tcW w:w="4621" w:type="dxa"/>
            <w:vAlign w:val="bottom"/>
          </w:tcPr>
          <w:p w14:paraId="77DB263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York </w:t>
            </w:r>
          </w:p>
        </w:tc>
      </w:tr>
      <w:tr w:rsidR="00243F6C" w14:paraId="455D741A" w14:textId="77777777" w:rsidTr="00CB4E1E">
        <w:tc>
          <w:tcPr>
            <w:tcW w:w="4621" w:type="dxa"/>
          </w:tcPr>
          <w:p w14:paraId="00179803" w14:textId="77777777" w:rsidR="00243F6C" w:rsidRDefault="00243F6C" w:rsidP="007D2429"/>
        </w:tc>
        <w:tc>
          <w:tcPr>
            <w:tcW w:w="4621" w:type="dxa"/>
            <w:vAlign w:val="bottom"/>
          </w:tcPr>
          <w:p w14:paraId="242F4B03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Diana Princess of Wales, Grimsby</w:t>
            </w:r>
          </w:p>
        </w:tc>
      </w:tr>
      <w:tr w:rsidR="00243F6C" w14:paraId="10C08EDF" w14:textId="77777777" w:rsidTr="00CB4E1E">
        <w:tc>
          <w:tcPr>
            <w:tcW w:w="4621" w:type="dxa"/>
          </w:tcPr>
          <w:p w14:paraId="2D3BF1E6" w14:textId="77777777" w:rsidR="00243F6C" w:rsidRDefault="00243F6C" w:rsidP="007D2429"/>
        </w:tc>
        <w:tc>
          <w:tcPr>
            <w:tcW w:w="4621" w:type="dxa"/>
            <w:vAlign w:val="bottom"/>
          </w:tcPr>
          <w:p w14:paraId="6FBBBFF8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Scunthorpe</w:t>
            </w:r>
          </w:p>
        </w:tc>
      </w:tr>
      <w:tr w:rsidR="00243F6C" w14:paraId="6339F257" w14:textId="77777777" w:rsidTr="00BE0E71">
        <w:tc>
          <w:tcPr>
            <w:tcW w:w="4621" w:type="dxa"/>
          </w:tcPr>
          <w:p w14:paraId="4635CB91" w14:textId="77777777" w:rsidR="00243F6C" w:rsidRDefault="00243F6C" w:rsidP="007D2429">
            <w:r>
              <w:t>North of England Critical Care Network</w:t>
            </w:r>
          </w:p>
        </w:tc>
        <w:tc>
          <w:tcPr>
            <w:tcW w:w="4621" w:type="dxa"/>
            <w:vAlign w:val="bottom"/>
          </w:tcPr>
          <w:p w14:paraId="18CF494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Northumbria Specialist Emergency Care Hospital</w:t>
            </w:r>
          </w:p>
        </w:tc>
      </w:tr>
      <w:tr w:rsidR="00243F6C" w14:paraId="529E57E9" w14:textId="77777777" w:rsidTr="007D2429">
        <w:tc>
          <w:tcPr>
            <w:tcW w:w="4621" w:type="dxa"/>
          </w:tcPr>
          <w:p w14:paraId="4112E87E" w14:textId="77777777" w:rsidR="00243F6C" w:rsidRDefault="00243F6C" w:rsidP="007D2429"/>
        </w:tc>
        <w:tc>
          <w:tcPr>
            <w:tcW w:w="4621" w:type="dxa"/>
          </w:tcPr>
          <w:p w14:paraId="0D6E1167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Freeman Ward 37</w:t>
            </w:r>
          </w:p>
        </w:tc>
      </w:tr>
      <w:tr w:rsidR="00243F6C" w14:paraId="185438C6" w14:textId="77777777" w:rsidTr="00BE0E71">
        <w:tc>
          <w:tcPr>
            <w:tcW w:w="4621" w:type="dxa"/>
          </w:tcPr>
          <w:p w14:paraId="1F9F6807" w14:textId="77777777" w:rsidR="00243F6C" w:rsidRDefault="00243F6C" w:rsidP="007D2429"/>
        </w:tc>
        <w:tc>
          <w:tcPr>
            <w:tcW w:w="4621" w:type="dxa"/>
            <w:vAlign w:val="bottom"/>
          </w:tcPr>
          <w:p w14:paraId="41669AF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Freeman Ward 21</w:t>
            </w:r>
          </w:p>
        </w:tc>
      </w:tr>
      <w:tr w:rsidR="00243F6C" w14:paraId="4DD83636" w14:textId="77777777" w:rsidTr="00BE0E71">
        <w:tc>
          <w:tcPr>
            <w:tcW w:w="4621" w:type="dxa"/>
          </w:tcPr>
          <w:p w14:paraId="7212B022" w14:textId="77777777" w:rsidR="00243F6C" w:rsidRDefault="00243F6C" w:rsidP="007D2429"/>
        </w:tc>
        <w:tc>
          <w:tcPr>
            <w:tcW w:w="4621" w:type="dxa"/>
            <w:vAlign w:val="bottom"/>
          </w:tcPr>
          <w:p w14:paraId="51FC0EFF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RVI Ward 38 </w:t>
            </w:r>
          </w:p>
        </w:tc>
      </w:tr>
      <w:tr w:rsidR="00243F6C" w14:paraId="5C9D16A3" w14:textId="77777777" w:rsidTr="00BE0E71">
        <w:tc>
          <w:tcPr>
            <w:tcW w:w="4621" w:type="dxa"/>
          </w:tcPr>
          <w:p w14:paraId="7AA48CD5" w14:textId="77777777" w:rsidR="00243F6C" w:rsidRDefault="00243F6C" w:rsidP="007D2429"/>
        </w:tc>
        <w:tc>
          <w:tcPr>
            <w:tcW w:w="4621" w:type="dxa"/>
            <w:vAlign w:val="bottom"/>
          </w:tcPr>
          <w:p w14:paraId="15BBB1B4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RVI Ward 18 </w:t>
            </w:r>
          </w:p>
        </w:tc>
      </w:tr>
      <w:tr w:rsidR="00243F6C" w14:paraId="14E5DACD" w14:textId="77777777" w:rsidTr="00BE0E71">
        <w:tc>
          <w:tcPr>
            <w:tcW w:w="4621" w:type="dxa"/>
          </w:tcPr>
          <w:p w14:paraId="117A59AA" w14:textId="77777777" w:rsidR="00243F6C" w:rsidRDefault="00243F6C" w:rsidP="007D2429"/>
        </w:tc>
        <w:tc>
          <w:tcPr>
            <w:tcW w:w="4621" w:type="dxa"/>
            <w:vAlign w:val="bottom"/>
          </w:tcPr>
          <w:p w14:paraId="1DCE7832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South Tyneside</w:t>
            </w:r>
          </w:p>
        </w:tc>
      </w:tr>
      <w:tr w:rsidR="00243F6C" w14:paraId="19A20A3D" w14:textId="77777777" w:rsidTr="007D2429">
        <w:tc>
          <w:tcPr>
            <w:tcW w:w="4621" w:type="dxa"/>
          </w:tcPr>
          <w:p w14:paraId="5107ACA2" w14:textId="77777777" w:rsidR="00243F6C" w:rsidRDefault="00243F6C" w:rsidP="007D2429"/>
        </w:tc>
        <w:tc>
          <w:tcPr>
            <w:tcW w:w="4621" w:type="dxa"/>
          </w:tcPr>
          <w:p w14:paraId="2E76AB9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QE, Gateshead</w:t>
            </w:r>
          </w:p>
        </w:tc>
      </w:tr>
      <w:tr w:rsidR="00243F6C" w14:paraId="75DCDCB4" w14:textId="77777777" w:rsidTr="00BE0E71">
        <w:tc>
          <w:tcPr>
            <w:tcW w:w="4621" w:type="dxa"/>
          </w:tcPr>
          <w:p w14:paraId="786F9116" w14:textId="77777777" w:rsidR="00243F6C" w:rsidRDefault="00243F6C" w:rsidP="007D2429"/>
        </w:tc>
        <w:tc>
          <w:tcPr>
            <w:tcW w:w="4621" w:type="dxa"/>
            <w:vAlign w:val="bottom"/>
          </w:tcPr>
          <w:p w14:paraId="6B1DEB68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Sunderland</w:t>
            </w:r>
          </w:p>
        </w:tc>
      </w:tr>
      <w:tr w:rsidR="00243F6C" w14:paraId="404AAC96" w14:textId="77777777" w:rsidTr="00BE0E71">
        <w:tc>
          <w:tcPr>
            <w:tcW w:w="4621" w:type="dxa"/>
          </w:tcPr>
          <w:p w14:paraId="350BE332" w14:textId="77777777" w:rsidR="00243F6C" w:rsidRDefault="00243F6C" w:rsidP="007D2429"/>
        </w:tc>
        <w:tc>
          <w:tcPr>
            <w:tcW w:w="4621" w:type="dxa"/>
            <w:vAlign w:val="bottom"/>
          </w:tcPr>
          <w:p w14:paraId="2417CE1B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Durham </w:t>
            </w:r>
          </w:p>
        </w:tc>
      </w:tr>
      <w:tr w:rsidR="00243F6C" w14:paraId="55239D16" w14:textId="77777777" w:rsidTr="00BE0E71">
        <w:tc>
          <w:tcPr>
            <w:tcW w:w="4621" w:type="dxa"/>
          </w:tcPr>
          <w:p w14:paraId="0BCBDAF9" w14:textId="77777777" w:rsidR="00243F6C" w:rsidRDefault="00243F6C" w:rsidP="007D2429"/>
        </w:tc>
        <w:tc>
          <w:tcPr>
            <w:tcW w:w="4621" w:type="dxa"/>
            <w:vAlign w:val="bottom"/>
          </w:tcPr>
          <w:p w14:paraId="269C4C30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Darlington</w:t>
            </w:r>
          </w:p>
        </w:tc>
      </w:tr>
      <w:tr w:rsidR="00243F6C" w14:paraId="4D895C69" w14:textId="77777777" w:rsidTr="00BE0E71">
        <w:tc>
          <w:tcPr>
            <w:tcW w:w="4621" w:type="dxa"/>
          </w:tcPr>
          <w:p w14:paraId="524E320D" w14:textId="77777777" w:rsidR="00243F6C" w:rsidRDefault="00243F6C" w:rsidP="007D2429"/>
        </w:tc>
        <w:tc>
          <w:tcPr>
            <w:tcW w:w="4621" w:type="dxa"/>
            <w:vAlign w:val="bottom"/>
          </w:tcPr>
          <w:p w14:paraId="1CE30D7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North Tees</w:t>
            </w:r>
          </w:p>
        </w:tc>
      </w:tr>
      <w:tr w:rsidR="00243F6C" w14:paraId="0D14F92D" w14:textId="77777777" w:rsidTr="00BE0E71">
        <w:tc>
          <w:tcPr>
            <w:tcW w:w="4621" w:type="dxa"/>
          </w:tcPr>
          <w:p w14:paraId="29AB067B" w14:textId="77777777" w:rsidR="00243F6C" w:rsidRDefault="00243F6C" w:rsidP="007D2429"/>
        </w:tc>
        <w:tc>
          <w:tcPr>
            <w:tcW w:w="4621" w:type="dxa"/>
            <w:vAlign w:val="bottom"/>
          </w:tcPr>
          <w:p w14:paraId="21246A76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James Cook - General </w:t>
            </w:r>
          </w:p>
        </w:tc>
      </w:tr>
      <w:tr w:rsidR="00243F6C" w14:paraId="536189C3" w14:textId="77777777" w:rsidTr="00BE0E71">
        <w:tc>
          <w:tcPr>
            <w:tcW w:w="4621" w:type="dxa"/>
          </w:tcPr>
          <w:p w14:paraId="78A7F1AF" w14:textId="77777777" w:rsidR="00243F6C" w:rsidRDefault="00243F6C" w:rsidP="007D2429"/>
        </w:tc>
        <w:tc>
          <w:tcPr>
            <w:tcW w:w="4621" w:type="dxa"/>
            <w:vAlign w:val="bottom"/>
          </w:tcPr>
          <w:p w14:paraId="5DEFCB92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James Cook - Cardio</w:t>
            </w:r>
          </w:p>
        </w:tc>
      </w:tr>
      <w:tr w:rsidR="00243F6C" w14:paraId="59F1CFFB" w14:textId="77777777" w:rsidTr="00BE0E71">
        <w:tc>
          <w:tcPr>
            <w:tcW w:w="4621" w:type="dxa"/>
          </w:tcPr>
          <w:p w14:paraId="5FEEE2FE" w14:textId="77777777" w:rsidR="00243F6C" w:rsidRDefault="00243F6C" w:rsidP="007D2429"/>
        </w:tc>
        <w:tc>
          <w:tcPr>
            <w:tcW w:w="4621" w:type="dxa"/>
          </w:tcPr>
          <w:p w14:paraId="6A870C5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James Cook - Spinal </w:t>
            </w:r>
          </w:p>
        </w:tc>
      </w:tr>
      <w:tr w:rsidR="00243F6C" w14:paraId="0E72DFF7" w14:textId="77777777" w:rsidTr="00BE0E71">
        <w:tc>
          <w:tcPr>
            <w:tcW w:w="4621" w:type="dxa"/>
          </w:tcPr>
          <w:p w14:paraId="2CC4B09E" w14:textId="77777777" w:rsidR="00243F6C" w:rsidRDefault="00243F6C" w:rsidP="007D2429"/>
        </w:tc>
        <w:tc>
          <w:tcPr>
            <w:tcW w:w="4621" w:type="dxa"/>
          </w:tcPr>
          <w:p w14:paraId="10B86E79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James Cook - Neuro</w:t>
            </w:r>
          </w:p>
        </w:tc>
      </w:tr>
      <w:tr w:rsidR="00243F6C" w14:paraId="3584C454" w14:textId="77777777" w:rsidTr="00BE0E71">
        <w:tc>
          <w:tcPr>
            <w:tcW w:w="4621" w:type="dxa"/>
          </w:tcPr>
          <w:p w14:paraId="6806CF8F" w14:textId="77777777" w:rsidR="00243F6C" w:rsidRDefault="00243F6C" w:rsidP="007D2429"/>
        </w:tc>
        <w:tc>
          <w:tcPr>
            <w:tcW w:w="4621" w:type="dxa"/>
          </w:tcPr>
          <w:p w14:paraId="6855901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Cumberland Infirmary</w:t>
            </w:r>
          </w:p>
        </w:tc>
      </w:tr>
      <w:tr w:rsidR="00243F6C" w14:paraId="3B33C068" w14:textId="77777777" w:rsidTr="00BE0E71">
        <w:tc>
          <w:tcPr>
            <w:tcW w:w="4621" w:type="dxa"/>
          </w:tcPr>
          <w:p w14:paraId="416C906D" w14:textId="77777777" w:rsidR="00243F6C" w:rsidRDefault="00243F6C" w:rsidP="007D2429"/>
        </w:tc>
        <w:tc>
          <w:tcPr>
            <w:tcW w:w="4621" w:type="dxa"/>
            <w:vAlign w:val="center"/>
          </w:tcPr>
          <w:p w14:paraId="7CED6B2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West Cumberland </w:t>
            </w:r>
          </w:p>
        </w:tc>
      </w:tr>
    </w:tbl>
    <w:p w14:paraId="4B693384" w14:textId="77777777" w:rsidR="00254084" w:rsidRDefault="00254084" w:rsidP="00254084">
      <w:pPr>
        <w:tabs>
          <w:tab w:val="center" w:pos="4513"/>
        </w:tabs>
        <w:rPr>
          <w:color w:val="000000" w:themeColor="text1"/>
        </w:rPr>
      </w:pPr>
      <w:bookmarkStart w:id="0" w:name="_GoBack"/>
      <w:bookmarkEnd w:id="0"/>
    </w:p>
    <w:sectPr w:rsidR="0025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62C798" w15:done="0"/>
  <w15:commentEx w15:paraId="088FE3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D3A"/>
    <w:multiLevelType w:val="hybridMultilevel"/>
    <w:tmpl w:val="17989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70FAA"/>
    <w:multiLevelType w:val="hybridMultilevel"/>
    <w:tmpl w:val="3020AC5E"/>
    <w:lvl w:ilvl="0" w:tplc="0FAA6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E66BB"/>
    <w:multiLevelType w:val="hybridMultilevel"/>
    <w:tmpl w:val="9A1233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atten Julie (RVW) Critical Care Network">
    <w15:presenceInfo w15:providerId="AD" w15:userId="S-1-5-21-123630133-1577783292-25656452-37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21"/>
    <w:rsid w:val="00010C23"/>
    <w:rsid w:val="000B60AC"/>
    <w:rsid w:val="00107E35"/>
    <w:rsid w:val="0014283F"/>
    <w:rsid w:val="00243F6C"/>
    <w:rsid w:val="00254084"/>
    <w:rsid w:val="002D7661"/>
    <w:rsid w:val="00307443"/>
    <w:rsid w:val="004B5B74"/>
    <w:rsid w:val="00526362"/>
    <w:rsid w:val="00686A95"/>
    <w:rsid w:val="00693A97"/>
    <w:rsid w:val="006B4CCA"/>
    <w:rsid w:val="00717CB9"/>
    <w:rsid w:val="00730509"/>
    <w:rsid w:val="007978FE"/>
    <w:rsid w:val="008050F1"/>
    <w:rsid w:val="00842321"/>
    <w:rsid w:val="008D6EE7"/>
    <w:rsid w:val="009D3DA0"/>
    <w:rsid w:val="00A65B07"/>
    <w:rsid w:val="00A94C88"/>
    <w:rsid w:val="00AC6EC4"/>
    <w:rsid w:val="00B8745A"/>
    <w:rsid w:val="00B91C2B"/>
    <w:rsid w:val="00BD0778"/>
    <w:rsid w:val="00C33E9B"/>
    <w:rsid w:val="00CA41FA"/>
    <w:rsid w:val="00D47DB5"/>
    <w:rsid w:val="00DB25E1"/>
    <w:rsid w:val="00DC7AFE"/>
    <w:rsid w:val="00E210D6"/>
    <w:rsid w:val="00EA2A0F"/>
    <w:rsid w:val="00EB3279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6"/>
  </w:style>
  <w:style w:type="paragraph" w:styleId="Heading1">
    <w:name w:val="heading 1"/>
    <w:basedOn w:val="Normal"/>
    <w:next w:val="Normal"/>
    <w:link w:val="Heading1Char"/>
    <w:uiPriority w:val="9"/>
    <w:qFormat/>
    <w:rsid w:val="0084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5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6"/>
  </w:style>
  <w:style w:type="paragraph" w:styleId="Heading1">
    <w:name w:val="heading 1"/>
    <w:basedOn w:val="Normal"/>
    <w:next w:val="Normal"/>
    <w:link w:val="Heading1Char"/>
    <w:uiPriority w:val="9"/>
    <w:qFormat/>
    <w:rsid w:val="0084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5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wyccn.org/regional-benchmarking-group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england.nhs.uk/sustainableimprovement/qsir-programme/qsir-tool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cn.org.uk/Professional-Development/publications/pub-006333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m.rogers3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eccn.org.uk/page-1860233" TargetMode="External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ybccn.org/benchmar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Horsfield</dc:creator>
  <cp:lastModifiedBy>Claire Horsfield</cp:lastModifiedBy>
  <cp:revision>2</cp:revision>
  <dcterms:created xsi:type="dcterms:W3CDTF">2023-07-26T07:44:00Z</dcterms:created>
  <dcterms:modified xsi:type="dcterms:W3CDTF">2023-07-26T07:44:00Z</dcterms:modified>
</cp:coreProperties>
</file>